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2183D" w:rsidP="00E2183D">
      <w:pPr>
        <w:ind w:firstLine="0"/>
        <w:jc w:val="center"/>
        <w:rPr>
          <w:b/>
          <w:color w:val="1D1D1D"/>
          <w:szCs w:val="24"/>
          <w:shd w:val="clear" w:color="auto" w:fill="FFFFFF"/>
        </w:rPr>
      </w:pPr>
    </w:p>
    <w:p w:rsidR="00E2183D" w:rsidP="00E2183D">
      <w:pPr>
        <w:ind w:firstLine="0"/>
        <w:jc w:val="center"/>
        <w:rPr>
          <w:b/>
          <w:color w:val="1D1D1D"/>
          <w:szCs w:val="24"/>
          <w:shd w:val="clear" w:color="auto" w:fill="FFFFFF"/>
        </w:rPr>
      </w:pPr>
    </w:p>
    <w:p w:rsidR="007D12F4" w:rsidP="00E2183D">
      <w:pPr>
        <w:ind w:firstLine="0"/>
        <w:jc w:val="center"/>
        <w:rPr>
          <w:b/>
          <w:color w:val="1D1D1D"/>
          <w:szCs w:val="24"/>
          <w:shd w:val="clear" w:color="auto" w:fill="FFFFFF"/>
        </w:rPr>
      </w:pPr>
      <w:r w:rsidRPr="00E9482B">
        <w:rPr>
          <w:b/>
          <w:color w:val="1D1D1D"/>
          <w:szCs w:val="24"/>
          <w:shd w:val="clear" w:color="auto" w:fill="FFFFFF"/>
        </w:rPr>
        <w:t xml:space="preserve">#2 Using </w:t>
      </w:r>
      <w:r w:rsidRPr="00E9482B">
        <w:rPr>
          <w:b/>
          <w:color w:val="1D1D1D"/>
          <w:szCs w:val="24"/>
          <w:shd w:val="clear" w:color="auto" w:fill="FFFFFF"/>
        </w:rPr>
        <w:t xml:space="preserve">Schedule II </w:t>
      </w:r>
      <w:r w:rsidRPr="00E9482B">
        <w:rPr>
          <w:b/>
          <w:color w:val="1D1D1D"/>
          <w:szCs w:val="24"/>
          <w:shd w:val="clear" w:color="auto" w:fill="FFFFFF"/>
        </w:rPr>
        <w:t>Substances</w:t>
      </w:r>
    </w:p>
    <w:p w:rsidR="00E2183D" w:rsidP="00E2183D">
      <w:pPr>
        <w:ind w:firstLine="0"/>
        <w:jc w:val="center"/>
        <w:rPr>
          <w:b/>
          <w:color w:val="1D1D1D"/>
          <w:szCs w:val="24"/>
          <w:shd w:val="clear" w:color="auto" w:fill="FFFFFF"/>
        </w:rPr>
      </w:pPr>
    </w:p>
    <w:p w:rsidR="00E2183D" w:rsidP="00E2183D">
      <w:pPr>
        <w:ind w:firstLine="0"/>
        <w:jc w:val="center"/>
        <w:rPr>
          <w:b/>
          <w:color w:val="1D1D1D"/>
          <w:szCs w:val="24"/>
          <w:shd w:val="clear" w:color="auto" w:fill="FFFFFF"/>
        </w:rPr>
      </w:pPr>
    </w:p>
    <w:p w:rsidR="00E2183D" w:rsidP="00E2183D">
      <w:pPr>
        <w:ind w:firstLine="0"/>
        <w:jc w:val="center"/>
        <w:rPr>
          <w:b/>
          <w:color w:val="1D1D1D"/>
          <w:szCs w:val="24"/>
          <w:shd w:val="clear" w:color="auto" w:fill="FFFFFF"/>
        </w:rPr>
      </w:pPr>
    </w:p>
    <w:p w:rsidR="00E2183D" w:rsidRPr="00E9482B" w:rsidP="00E2183D">
      <w:pPr>
        <w:ind w:firstLine="0"/>
        <w:jc w:val="center"/>
        <w:rPr>
          <w:b/>
          <w:color w:val="1D1D1D"/>
          <w:szCs w:val="24"/>
          <w:shd w:val="clear" w:color="auto" w:fill="FFFFFF"/>
        </w:rPr>
      </w:pPr>
    </w:p>
    <w:p w:rsidR="007D12F4" w:rsidRPr="00E9482B" w:rsidP="00E2183D">
      <w:pPr>
        <w:ind w:firstLine="0"/>
        <w:jc w:val="center"/>
        <w:rPr>
          <w:color w:val="1D1D1D"/>
          <w:szCs w:val="24"/>
          <w:shd w:val="clear" w:color="auto" w:fill="FFFFFF"/>
        </w:rPr>
      </w:pPr>
      <w:r w:rsidRPr="00E9482B">
        <w:rPr>
          <w:color w:val="1D1D1D"/>
          <w:szCs w:val="24"/>
          <w:shd w:val="clear" w:color="auto" w:fill="FFFFFF"/>
        </w:rPr>
        <w:t>Name</w:t>
      </w:r>
    </w:p>
    <w:p w:rsidR="007D12F4" w:rsidRPr="00E9482B" w:rsidP="00E2183D">
      <w:pPr>
        <w:ind w:firstLine="0"/>
        <w:jc w:val="center"/>
        <w:rPr>
          <w:color w:val="1D1D1D"/>
          <w:szCs w:val="24"/>
          <w:shd w:val="clear" w:color="auto" w:fill="FFFFFF"/>
        </w:rPr>
      </w:pPr>
      <w:r w:rsidRPr="00E9482B">
        <w:rPr>
          <w:color w:val="1D1D1D"/>
          <w:szCs w:val="24"/>
          <w:shd w:val="clear" w:color="auto" w:fill="FFFFFF"/>
        </w:rPr>
        <w:t>Institution of Affiliation</w:t>
      </w:r>
    </w:p>
    <w:p w:rsidR="007D12F4" w:rsidRPr="00E9482B" w:rsidP="00E2183D">
      <w:pPr>
        <w:ind w:firstLine="0"/>
        <w:jc w:val="center"/>
        <w:rPr>
          <w:color w:val="1D1D1D"/>
          <w:szCs w:val="24"/>
          <w:shd w:val="clear" w:color="auto" w:fill="FFFFFF"/>
        </w:rPr>
      </w:pPr>
      <w:r w:rsidRPr="00E9482B">
        <w:rPr>
          <w:color w:val="1D1D1D"/>
          <w:szCs w:val="24"/>
          <w:shd w:val="clear" w:color="auto" w:fill="FFFFFF"/>
        </w:rPr>
        <w:t>Professor</w:t>
      </w:r>
    </w:p>
    <w:p w:rsidR="007D12F4" w:rsidRPr="00E9482B" w:rsidP="00E2183D">
      <w:pPr>
        <w:ind w:firstLine="0"/>
        <w:jc w:val="center"/>
        <w:rPr>
          <w:color w:val="1D1D1D"/>
          <w:szCs w:val="24"/>
          <w:shd w:val="clear" w:color="auto" w:fill="FFFFFF"/>
        </w:rPr>
      </w:pPr>
      <w:r w:rsidRPr="00E9482B">
        <w:rPr>
          <w:color w:val="1D1D1D"/>
          <w:szCs w:val="24"/>
          <w:shd w:val="clear" w:color="auto" w:fill="FFFFFF"/>
        </w:rPr>
        <w:t>Date</w:t>
      </w: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E2183D" w:rsidP="007D12F4">
      <w:pPr>
        <w:ind w:firstLine="0"/>
        <w:rPr>
          <w:b/>
          <w:color w:val="1D1D1D"/>
          <w:szCs w:val="24"/>
          <w:shd w:val="clear" w:color="auto" w:fill="FFFFFF"/>
        </w:rPr>
      </w:pPr>
    </w:p>
    <w:p w:rsidR="006301D5" w:rsidP="007D12F4">
      <w:pPr>
        <w:ind w:firstLine="0"/>
        <w:rPr>
          <w:b/>
          <w:color w:val="1D1D1D"/>
          <w:szCs w:val="24"/>
          <w:shd w:val="clear" w:color="auto" w:fill="FFFFFF"/>
        </w:rPr>
      </w:pPr>
    </w:p>
    <w:p w:rsidR="006301D5" w:rsidP="006301D5">
      <w:pPr>
        <w:ind w:firstLine="0"/>
        <w:jc w:val="center"/>
        <w:rPr>
          <w:b/>
          <w:color w:val="1D1D1D"/>
          <w:szCs w:val="24"/>
          <w:shd w:val="clear" w:color="auto" w:fill="FFFFFF"/>
        </w:rPr>
      </w:pPr>
      <w:r w:rsidRPr="00E9482B">
        <w:rPr>
          <w:b/>
          <w:color w:val="1D1D1D"/>
          <w:szCs w:val="24"/>
          <w:shd w:val="clear" w:color="auto" w:fill="FFFFFF"/>
        </w:rPr>
        <w:t>#2 Using Schedule II Substances</w:t>
      </w:r>
      <w:bookmarkStart w:id="0" w:name="_GoBack"/>
      <w:bookmarkEnd w:id="0"/>
    </w:p>
    <w:p w:rsidR="007D12F4" w:rsidRPr="00E9482B" w:rsidP="00E2183D">
      <w:pPr>
        <w:ind w:firstLine="0"/>
        <w:jc w:val="center"/>
        <w:rPr>
          <w:b/>
          <w:color w:val="1D1D1D"/>
          <w:szCs w:val="24"/>
          <w:shd w:val="clear" w:color="auto" w:fill="FFFFFF"/>
        </w:rPr>
      </w:pPr>
      <w:r w:rsidRPr="00E9482B">
        <w:rPr>
          <w:b/>
          <w:color w:val="1D1D1D"/>
          <w:szCs w:val="24"/>
          <w:shd w:val="clear" w:color="auto" w:fill="FFFFFF"/>
        </w:rPr>
        <w:t xml:space="preserve">Advanced Practice Registered Nurses (APRNS) Who Prescribe Controlled Substances </w:t>
      </w:r>
      <w:r w:rsidRPr="00E9482B">
        <w:rPr>
          <w:b/>
          <w:color w:val="1D1D1D"/>
          <w:szCs w:val="24"/>
          <w:shd w:val="clear" w:color="auto" w:fill="FFFFFF"/>
        </w:rPr>
        <w:t>In</w:t>
      </w:r>
      <w:r w:rsidRPr="00E9482B">
        <w:rPr>
          <w:b/>
          <w:color w:val="1D1D1D"/>
          <w:szCs w:val="24"/>
          <w:shd w:val="clear" w:color="auto" w:fill="FFFFFF"/>
        </w:rPr>
        <w:t xml:space="preserve"> California</w:t>
      </w:r>
    </w:p>
    <w:p w:rsidR="007D12F4" w:rsidRPr="00E9482B" w:rsidP="00E2183D">
      <w:pPr>
        <w:rPr>
          <w:color w:val="1D1D1D"/>
          <w:szCs w:val="24"/>
          <w:shd w:val="clear" w:color="auto" w:fill="FFFFFF"/>
        </w:rPr>
      </w:pPr>
      <w:r w:rsidRPr="00E9482B">
        <w:rPr>
          <w:color w:val="1D1D1D"/>
          <w:szCs w:val="24"/>
          <w:shd w:val="clear" w:color="auto" w:fill="FFFFFF"/>
        </w:rPr>
        <w:t>APRNs play a crucial role in the administration and prescription of controlled substances in the state of California. For the APRN to qualify and be allowed to prescribe and administer schedule II substances, one has to be a recognized registered nurse as a nurse practitioner</w:t>
      </w:r>
      <w:r w:rsidR="00ED7747">
        <w:rPr>
          <w:color w:val="1D1D1D"/>
          <w:szCs w:val="24"/>
          <w:shd w:val="clear" w:color="auto" w:fill="FFFFFF"/>
        </w:rPr>
        <w:t xml:space="preserve"> (</w:t>
      </w:r>
      <w:r w:rsidR="00ED7747">
        <w:rPr>
          <w:szCs w:val="24"/>
        </w:rPr>
        <w:t xml:space="preserve">Tilley et al., </w:t>
      </w:r>
      <w:r w:rsidRPr="00CC5272" w:rsidR="00ED7747">
        <w:rPr>
          <w:szCs w:val="24"/>
        </w:rPr>
        <w:t>2019)</w:t>
      </w:r>
      <w:r w:rsidRPr="00E9482B">
        <w:rPr>
          <w:color w:val="1D1D1D"/>
          <w:szCs w:val="24"/>
          <w:shd w:val="clear" w:color="auto" w:fill="FFFFFF"/>
        </w:rPr>
        <w:t>. They must have the involvement of the physician before prescribing the medication. The physician should give the go-ahead signal for the APRN to prescribe and administer the drugs under schedule II. In addition, they need to have a minimum of six months of supervision experience with a physician. This is basically working under a physician for the entire six months for the</w:t>
      </w:r>
      <w:r w:rsidRPr="00E9482B" w:rsidR="00FB4907">
        <w:rPr>
          <w:color w:val="1D1D1D"/>
          <w:szCs w:val="24"/>
          <w:shd w:val="clear" w:color="auto" w:fill="FFFFFF"/>
        </w:rPr>
        <w:t>m</w:t>
      </w:r>
      <w:r w:rsidRPr="00E9482B">
        <w:rPr>
          <w:color w:val="1D1D1D"/>
          <w:szCs w:val="24"/>
          <w:shd w:val="clear" w:color="auto" w:fill="FFFFFF"/>
        </w:rPr>
        <w:t xml:space="preserve"> to gain experience concerning controlled schedule II substances. They also must have completed training in a pharmacology course. Additionally, they must also have done a course in prescribing schedule II substances and successfully completed the training. </w:t>
      </w:r>
      <w:r w:rsidRPr="00E9482B" w:rsidR="00D07DE4">
        <w:rPr>
          <w:color w:val="1D1D1D"/>
          <w:szCs w:val="24"/>
          <w:shd w:val="clear" w:color="auto" w:fill="FFFFFF"/>
        </w:rPr>
        <w:t>They need to have a board number that recognizes and gives them the authority to prescribe medication in schedule II. The number is known as a furnishing number and can be tracked by the registering board in the state</w:t>
      </w:r>
      <w:r w:rsidR="00ED7747">
        <w:rPr>
          <w:color w:val="1D1D1D"/>
          <w:szCs w:val="24"/>
          <w:shd w:val="clear" w:color="auto" w:fill="FFFFFF"/>
        </w:rPr>
        <w:t xml:space="preserve"> (</w:t>
      </w:r>
      <w:r w:rsidRPr="00CC5272" w:rsidR="00ED7747">
        <w:rPr>
          <w:szCs w:val="24"/>
        </w:rPr>
        <w:t>Yang</w:t>
      </w:r>
      <w:r w:rsidR="00ED7747">
        <w:rPr>
          <w:szCs w:val="24"/>
        </w:rPr>
        <w:t xml:space="preserve"> et al., 2020)</w:t>
      </w:r>
      <w:r w:rsidRPr="00E9482B" w:rsidR="00D07DE4">
        <w:rPr>
          <w:color w:val="1D1D1D"/>
          <w:szCs w:val="24"/>
          <w:shd w:val="clear" w:color="auto" w:fill="FFFFFF"/>
        </w:rPr>
        <w:t xml:space="preserve">. </w:t>
      </w:r>
      <w:r w:rsidRPr="00E9482B" w:rsidR="00847D2A">
        <w:rPr>
          <w:color w:val="1D1D1D"/>
          <w:szCs w:val="24"/>
          <w:shd w:val="clear" w:color="auto" w:fill="FFFFFF"/>
        </w:rPr>
        <w:t>The APRN cannot, therefore, administer the schedule II substances without having fulfilled the above requirements as provided by the California laws. 
</w:t>
      </w:r>
    </w:p>
    <w:p w:rsidR="007D12F4" w:rsidRPr="00E9482B" w:rsidP="00E2183D">
      <w:pPr>
        <w:ind w:firstLine="0"/>
        <w:jc w:val="center"/>
        <w:rPr>
          <w:b/>
          <w:color w:val="1D1D1D"/>
          <w:szCs w:val="24"/>
          <w:shd w:val="clear" w:color="auto" w:fill="FFFFFF"/>
        </w:rPr>
      </w:pPr>
      <w:r w:rsidRPr="00E9482B">
        <w:rPr>
          <w:b/>
          <w:color w:val="1D1D1D"/>
          <w:szCs w:val="24"/>
          <w:shd w:val="clear" w:color="auto" w:fill="FFFFFF"/>
        </w:rPr>
        <w:t xml:space="preserve">What are the policies for writing a prescription for a Schedule II </w:t>
      </w:r>
      <w:r w:rsidRPr="00E9482B">
        <w:rPr>
          <w:b/>
          <w:color w:val="1D1D1D"/>
          <w:szCs w:val="24"/>
          <w:shd w:val="clear" w:color="auto" w:fill="FFFFFF"/>
        </w:rPr>
        <w:t>CS</w:t>
      </w:r>
    </w:p>
    <w:p w:rsidR="005735AE" w:rsidRPr="00E9482B" w:rsidP="00E2183D">
      <w:pPr>
        <w:rPr>
          <w:color w:val="1D1D1D"/>
          <w:szCs w:val="24"/>
          <w:shd w:val="clear" w:color="auto" w:fill="FFFFFF"/>
        </w:rPr>
      </w:pPr>
      <w:r w:rsidRPr="00E9482B">
        <w:rPr>
          <w:color w:val="1D1D1D"/>
          <w:szCs w:val="24"/>
          <w:shd w:val="clear" w:color="auto" w:fill="FFFFFF"/>
        </w:rPr>
        <w:t>When writing a prescription for a schedule II CS, the practitioner must have the authority to prescribe. In addition, the name and signature of the person prescribing must appear on the prescription note</w:t>
      </w:r>
      <w:r w:rsidR="00ED7747">
        <w:rPr>
          <w:color w:val="1D1D1D"/>
          <w:szCs w:val="24"/>
          <w:shd w:val="clear" w:color="auto" w:fill="FFFFFF"/>
        </w:rPr>
        <w:t xml:space="preserve"> (</w:t>
      </w:r>
      <w:r w:rsidRPr="00E2183D" w:rsidR="00ED7747">
        <w:rPr>
          <w:szCs w:val="24"/>
        </w:rPr>
        <w:t>Ladd</w:t>
      </w:r>
      <w:r w:rsidR="00ED7747">
        <w:rPr>
          <w:szCs w:val="24"/>
        </w:rPr>
        <w:t xml:space="preserve"> et al., 2019)</w:t>
      </w:r>
      <w:r w:rsidRPr="00E9482B">
        <w:rPr>
          <w:color w:val="1D1D1D"/>
          <w:szCs w:val="24"/>
          <w:shd w:val="clear" w:color="auto" w:fill="FFFFFF"/>
        </w:rPr>
        <w:t xml:space="preserve">. In addition, the board number of the practitioner must also </w:t>
      </w:r>
      <w:r w:rsidRPr="00E9482B">
        <w:rPr>
          <w:color w:val="1D1D1D"/>
          <w:szCs w:val="24"/>
          <w:shd w:val="clear" w:color="auto" w:fill="FFFFFF"/>
        </w:rPr>
        <w:t>appear on the prescription note. The APRN who has been authorized to prescribe can, therefore, prescribe the schedule 11 controlled substances. 
</w:t>
      </w:r>
    </w:p>
    <w:p w:rsidR="00D96882" w:rsidRPr="00E9482B" w:rsidP="00E2183D">
      <w:pPr>
        <w:ind w:firstLine="0"/>
        <w:jc w:val="center"/>
        <w:rPr>
          <w:b/>
          <w:color w:val="1D1D1D"/>
          <w:szCs w:val="24"/>
          <w:shd w:val="clear" w:color="auto" w:fill="FFFFFF"/>
        </w:rPr>
      </w:pPr>
      <w:r w:rsidRPr="00E9482B">
        <w:rPr>
          <w:b/>
          <w:color w:val="1D1D1D"/>
          <w:szCs w:val="24"/>
          <w:shd w:val="clear" w:color="auto" w:fill="FFFFFF"/>
        </w:rPr>
        <w:t>Can you offer the patient refills?</w:t>
      </w:r>
    </w:p>
    <w:p w:rsidR="00D96882" w:rsidRPr="00E9482B" w:rsidP="00E2183D">
      <w:pPr>
        <w:rPr>
          <w:color w:val="1D1D1D"/>
          <w:szCs w:val="24"/>
          <w:shd w:val="clear" w:color="auto" w:fill="FFFFFF"/>
        </w:rPr>
      </w:pPr>
      <w:r w:rsidRPr="00E9482B">
        <w:rPr>
          <w:color w:val="1D1D1D"/>
          <w:szCs w:val="24"/>
          <w:shd w:val="clear" w:color="auto" w:fill="FFFFFF"/>
        </w:rPr>
        <w:t>Yes, I can offer the patient refills since I have the authority to prescribe the medication to them. The only required is that I should inquire id there are any concerns for the patient taking the medication, and in case I need to consult the physician, I should do so in an official way. This means that keeping records if I called the physician using the phone. 
</w:t>
      </w:r>
    </w:p>
    <w:p w:rsidR="00D96882" w:rsidRPr="00E9482B" w:rsidP="00E2183D">
      <w:pPr>
        <w:ind w:firstLine="0"/>
        <w:jc w:val="center"/>
        <w:rPr>
          <w:b/>
          <w:color w:val="1D1D1D"/>
          <w:szCs w:val="24"/>
          <w:shd w:val="clear" w:color="auto" w:fill="FFFFFF"/>
        </w:rPr>
      </w:pPr>
      <w:r w:rsidRPr="00E9482B">
        <w:rPr>
          <w:b/>
          <w:color w:val="1D1D1D"/>
          <w:szCs w:val="24"/>
          <w:shd w:val="clear" w:color="auto" w:fill="FFFFFF"/>
        </w:rPr>
        <w:t>What is the DEA policy on post-dated prescriptions for Schedule II drugs?</w:t>
      </w:r>
    </w:p>
    <w:p w:rsidR="00D96882" w:rsidRPr="00E9482B" w:rsidP="00E2183D">
      <w:pPr>
        <w:rPr>
          <w:color w:val="1D1D1D"/>
          <w:szCs w:val="24"/>
          <w:shd w:val="clear" w:color="auto" w:fill="FFFFFF"/>
        </w:rPr>
      </w:pPr>
      <w:r w:rsidRPr="00E9482B">
        <w:rPr>
          <w:color w:val="1D1D1D"/>
          <w:szCs w:val="24"/>
          <w:shd w:val="clear" w:color="auto" w:fill="FFFFFF"/>
        </w:rPr>
        <w:t>The DEA policy is those post-dated prescriptions for schedule II drugs should not be refilled. The DEA suggests that the practitioner should write another prescription and send it to the pharmacy for dispensing of the medication. 
</w:t>
      </w:r>
    </w:p>
    <w:p w:rsidR="007D12F4" w:rsidRPr="00E9482B" w:rsidP="00E2183D">
      <w:pPr>
        <w:ind w:firstLine="0"/>
        <w:jc w:val="center"/>
        <w:rPr>
          <w:b/>
          <w:szCs w:val="24"/>
        </w:rPr>
      </w:pPr>
      <w:r w:rsidRPr="00E9482B">
        <w:rPr>
          <w:b/>
          <w:szCs w:val="24"/>
        </w:rPr>
        <w:t>How can you avoid tampering with prescriptions for controlled substances?</w:t>
      </w:r>
    </w:p>
    <w:p w:rsidR="00E9482B" w:rsidP="00E2183D">
      <w:pPr>
        <w:rPr>
          <w:szCs w:val="24"/>
        </w:rPr>
      </w:pPr>
      <w:r w:rsidRPr="00E9482B">
        <w:rPr>
          <w:szCs w:val="24"/>
        </w:rPr>
        <w:t>Tampering can be avoided by ensuring that the original prescription note is unique, and a fake one cannot be produced. In addition, the practitioner should always have their signature, which is unique and cannot be forged. Also, using facsimile, the practitioner is able to send an electronic copy to the pharmacist so that they can compare it with the hardcopy that the patient presents to the pharmacy</w:t>
      </w:r>
      <w:r w:rsidR="00ED7747">
        <w:rPr>
          <w:szCs w:val="24"/>
        </w:rPr>
        <w:t xml:space="preserve"> (Phillips, </w:t>
      </w:r>
      <w:r w:rsidRPr="00E2183D" w:rsidR="00ED7747">
        <w:rPr>
          <w:szCs w:val="24"/>
        </w:rPr>
        <w:t>2019)</w:t>
      </w:r>
      <w:r w:rsidRPr="00E9482B">
        <w:rPr>
          <w:szCs w:val="24"/>
        </w:rPr>
        <w:t xml:space="preserve">. </w:t>
      </w:r>
      <w:r>
        <w:rPr>
          <w:szCs w:val="24"/>
        </w:rPr>
        <w:t xml:space="preserve">These measures are common for both the state and the federal level. </w:t>
      </w:r>
    </w:p>
    <w:p w:rsidR="00E9482B" w:rsidRPr="00E2183D" w:rsidP="00E2183D">
      <w:pPr>
        <w:ind w:firstLine="0"/>
        <w:jc w:val="center"/>
        <w:rPr>
          <w:b/>
          <w:szCs w:val="24"/>
        </w:rPr>
      </w:pPr>
      <w:r w:rsidRPr="00E2183D">
        <w:rPr>
          <w:b/>
          <w:szCs w:val="24"/>
        </w:rPr>
        <w:t>Controlled substances are categorized using a classification system.
</w:t>
      </w:r>
    </w:p>
    <w:p w:rsidR="00E9482B" w:rsidP="00E2183D">
      <w:pPr>
        <w:rPr>
          <w:szCs w:val="24"/>
        </w:rPr>
      </w:pPr>
      <w:r>
        <w:rPr>
          <w:szCs w:val="24"/>
        </w:rPr>
        <w:t>The controlled substances have been categorized into five schedules, which are schedule I to V. Schedule I involve drugs that have a high potential of being abused with no acceptable medical used</w:t>
      </w:r>
      <w:r w:rsidR="00ED7747">
        <w:rPr>
          <w:szCs w:val="24"/>
        </w:rPr>
        <w:t xml:space="preserve"> (Davis </w:t>
      </w:r>
      <w:r w:rsidRPr="00CC5272" w:rsidR="00ED7747">
        <w:rPr>
          <w:szCs w:val="24"/>
        </w:rPr>
        <w:t xml:space="preserve">&amp; </w:t>
      </w:r>
      <w:r w:rsidR="00ED7747">
        <w:rPr>
          <w:szCs w:val="24"/>
        </w:rPr>
        <w:t>Carr</w:t>
      </w:r>
      <w:r w:rsidR="00ED7747">
        <w:rPr>
          <w:szCs w:val="24"/>
        </w:rPr>
        <w:t xml:space="preserve">, </w:t>
      </w:r>
      <w:r w:rsidRPr="00CC5272" w:rsidR="00ED7747">
        <w:rPr>
          <w:szCs w:val="24"/>
        </w:rPr>
        <w:t>2017)</w:t>
      </w:r>
      <w:r>
        <w:rPr>
          <w:szCs w:val="24"/>
        </w:rPr>
        <w:t>. Medication in this schedule may not be prescribed, dispensed, or even administered. Examples include heroin and marijuana. 
</w:t>
      </w:r>
    </w:p>
    <w:p w:rsidR="00E9482B" w:rsidP="00E2183D">
      <w:pPr>
        <w:rPr>
          <w:szCs w:val="24"/>
        </w:rPr>
      </w:pPr>
      <w:r>
        <w:rPr>
          <w:szCs w:val="24"/>
        </w:rPr>
        <w:t xml:space="preserve">Schedule II consists of drugs that have the potential of </w:t>
      </w:r>
      <w:r w:rsidR="00E5155C">
        <w:rPr>
          <w:szCs w:val="24"/>
        </w:rPr>
        <w:t>causing both psychological and physical dependence. They can be dispensed, administered, and even prescribed. They include morphine, codeine, hydrocodone, methadone, and fentanyl. 
</w:t>
      </w:r>
    </w:p>
    <w:p w:rsidR="00E5155C" w:rsidP="00E2183D">
      <w:pPr>
        <w:rPr>
          <w:szCs w:val="24"/>
        </w:rPr>
      </w:pPr>
      <w:r>
        <w:rPr>
          <w:szCs w:val="24"/>
        </w:rPr>
        <w:t>Schedule III are medication categories that have the intermediate potential of being abused. They include medication like a combination of codeine with acetaminophen or ketamine. 
</w:t>
      </w:r>
    </w:p>
    <w:p w:rsidR="00E5155C" w:rsidP="00E2183D">
      <w:pPr>
        <w:rPr>
          <w:szCs w:val="24"/>
        </w:rPr>
      </w:pPr>
      <w:r>
        <w:rPr>
          <w:szCs w:val="24"/>
        </w:rPr>
        <w:t xml:space="preserve">Schedule IV contains </w:t>
      </w:r>
      <w:r w:rsidR="00E2183D">
        <w:rPr>
          <w:szCs w:val="24"/>
        </w:rPr>
        <w:t>medications that have</w:t>
      </w:r>
      <w:r>
        <w:rPr>
          <w:szCs w:val="24"/>
        </w:rPr>
        <w:t xml:space="preserve"> abuse potential less than schedule II, but more than schedule V. They include clonazepam, diazepam, phenobarbital, and </w:t>
      </w:r>
      <w:r>
        <w:rPr>
          <w:szCs w:val="24"/>
        </w:rPr>
        <w:t>pemoline</w:t>
      </w:r>
      <w:r w:rsidR="00ED7747">
        <w:rPr>
          <w:szCs w:val="24"/>
        </w:rPr>
        <w:t xml:space="preserve"> </w:t>
      </w:r>
      <w:r w:rsidR="00ED7747">
        <w:rPr>
          <w:szCs w:val="24"/>
        </w:rPr>
        <w:t xml:space="preserve">(Phillips, </w:t>
      </w:r>
      <w:r w:rsidRPr="00E2183D" w:rsidR="00ED7747">
        <w:rPr>
          <w:szCs w:val="24"/>
        </w:rPr>
        <w:t>2019)</w:t>
      </w:r>
      <w:r>
        <w:rPr>
          <w:szCs w:val="24"/>
        </w:rPr>
        <w:t xml:space="preserve">. </w:t>
      </w:r>
    </w:p>
    <w:p w:rsidR="00E5155C" w:rsidP="00E2183D">
      <w:pPr>
        <w:rPr>
          <w:szCs w:val="24"/>
        </w:rPr>
      </w:pPr>
      <w:r>
        <w:rPr>
          <w:szCs w:val="24"/>
        </w:rPr>
        <w:t xml:space="preserve">Schedule V is a category that has the least potential of being abused among the five schedules. An example includes Robitussin AC. </w:t>
      </w:r>
    </w:p>
    <w:p w:rsidR="00E5155C" w:rsidRPr="00E2183D" w:rsidP="00E2183D">
      <w:pPr>
        <w:ind w:firstLine="0"/>
        <w:jc w:val="center"/>
        <w:rPr>
          <w:b/>
          <w:szCs w:val="24"/>
        </w:rPr>
      </w:pPr>
      <w:r w:rsidRPr="00E2183D">
        <w:rPr>
          <w:b/>
          <w:szCs w:val="24"/>
        </w:rPr>
        <w:t>Explain the reason why controlled sub</w:t>
      </w:r>
      <w:r>
        <w:rPr>
          <w:b/>
          <w:szCs w:val="24"/>
        </w:rPr>
        <w:t>stances need to be categorized</w:t>
      </w:r>
    </w:p>
    <w:p w:rsidR="00E2183D" w:rsidP="00E2183D">
      <w:pPr>
        <w:rPr>
          <w:szCs w:val="24"/>
        </w:rPr>
      </w:pPr>
      <w:r>
        <w:rPr>
          <w:szCs w:val="24"/>
        </w:rPr>
        <w:t>Controlled substances need to be categorized so that one can know how dangerous a certain substance when abused. The effects of a substance give the properties for it to be categorized; hence when prescribing, the limits must be maintained and observed strictly.
</w:t>
      </w:r>
    </w:p>
    <w:p w:rsidR="00E2183D" w:rsidRPr="00E2183D" w:rsidP="00E2183D">
      <w:pPr>
        <w:ind w:firstLine="0"/>
        <w:jc w:val="center"/>
        <w:rPr>
          <w:b/>
          <w:szCs w:val="24"/>
        </w:rPr>
      </w:pPr>
      <w:r w:rsidRPr="00E2183D">
        <w:rPr>
          <w:b/>
          <w:szCs w:val="24"/>
        </w:rPr>
        <w:t>What are the associated controls required in your state for prescribing in each schedule?</w:t>
      </w:r>
    </w:p>
    <w:p w:rsidR="00E2183D" w:rsidP="00E2183D">
      <w:pPr>
        <w:rPr>
          <w:szCs w:val="24"/>
        </w:rPr>
      </w:pPr>
      <w:r>
        <w:rPr>
          <w:szCs w:val="24"/>
        </w:rPr>
        <w:t>In California, the rules and regulations provided must be strictly provided when prescribing the various schedules. Each schedule has its own required, and this must be followed by all the practitioners who are authorized to prescribe. For example, the name, designation, and signature for all the schedules must be provided by the practitioner and clearly seen on the prescription note. 
</w:t>
      </w:r>
    </w:p>
    <w:p w:rsidR="00ED7747" w:rsidP="007D12F4">
      <w:pPr>
        <w:ind w:firstLine="0"/>
        <w:rPr>
          <w:szCs w:val="24"/>
        </w:rPr>
      </w:pPr>
    </w:p>
    <w:p w:rsidR="00ED7747" w:rsidP="007D12F4">
      <w:pPr>
        <w:ind w:firstLine="0"/>
        <w:rPr>
          <w:szCs w:val="24"/>
        </w:rPr>
      </w:pPr>
    </w:p>
    <w:p w:rsidR="00ED7747" w:rsidP="007D12F4">
      <w:pPr>
        <w:ind w:firstLine="0"/>
        <w:rPr>
          <w:szCs w:val="24"/>
        </w:rPr>
      </w:pPr>
    </w:p>
    <w:p w:rsidR="00E2183D" w:rsidRPr="00ED7747" w:rsidP="00ED7747">
      <w:pPr>
        <w:ind w:firstLine="0"/>
        <w:jc w:val="center"/>
        <w:rPr>
          <w:b/>
          <w:szCs w:val="24"/>
        </w:rPr>
      </w:pPr>
      <w:r w:rsidRPr="00ED7747">
        <w:rPr>
          <w:b/>
          <w:szCs w:val="24"/>
        </w:rPr>
        <w:t>References</w:t>
      </w:r>
    </w:p>
    <w:p w:rsidR="00ED7747" w:rsidP="00ED7747">
      <w:pPr>
        <w:ind w:left="720" w:hanging="720"/>
        <w:rPr>
          <w:szCs w:val="24"/>
        </w:rPr>
      </w:pPr>
      <w:r w:rsidRPr="00CC5272">
        <w:rPr>
          <w:szCs w:val="24"/>
        </w:rPr>
        <w:t xml:space="preserve">Davis, C. S., &amp; </w:t>
      </w:r>
      <w:r w:rsidRPr="00CC5272">
        <w:rPr>
          <w:szCs w:val="24"/>
        </w:rPr>
        <w:t>Carr</w:t>
      </w:r>
      <w:r w:rsidRPr="00CC5272">
        <w:rPr>
          <w:szCs w:val="24"/>
        </w:rPr>
        <w:t>, D. H. (2017).</w:t>
      </w:r>
      <w:r w:rsidRPr="00CC5272">
        <w:rPr>
          <w:szCs w:val="24"/>
        </w:rPr>
        <w:t xml:space="preserve"> </w:t>
      </w:r>
      <w:r w:rsidRPr="00CC5272">
        <w:rPr>
          <w:szCs w:val="24"/>
        </w:rPr>
        <w:t>The law and policy of opioids for pain management, addiction treatment, and overdose reversal.</w:t>
      </w:r>
      <w:r w:rsidRPr="00CC5272">
        <w:rPr>
          <w:szCs w:val="24"/>
        </w:rPr>
        <w:t> </w:t>
      </w:r>
      <w:r w:rsidRPr="00CC5272">
        <w:rPr>
          <w:i/>
          <w:iCs/>
          <w:szCs w:val="24"/>
        </w:rPr>
        <w:t>Ind. Health L. Rev.</w:t>
      </w:r>
      <w:r w:rsidRPr="00CC5272">
        <w:rPr>
          <w:szCs w:val="24"/>
        </w:rPr>
        <w:t>, </w:t>
      </w:r>
      <w:r w:rsidRPr="00CC5272">
        <w:rPr>
          <w:i/>
          <w:iCs/>
          <w:szCs w:val="24"/>
        </w:rPr>
        <w:t>14</w:t>
      </w:r>
      <w:r w:rsidRPr="00CC5272">
        <w:rPr>
          <w:szCs w:val="24"/>
        </w:rPr>
        <w:t>, 1.</w:t>
      </w:r>
    </w:p>
    <w:p w:rsidR="00ED7747" w:rsidP="00ED7747">
      <w:pPr>
        <w:ind w:left="720" w:hanging="720"/>
        <w:rPr>
          <w:szCs w:val="24"/>
        </w:rPr>
      </w:pPr>
      <w:r w:rsidRPr="00CC5272">
        <w:rPr>
          <w:szCs w:val="24"/>
        </w:rPr>
        <w:t>Heing</w:t>
      </w:r>
      <w:r w:rsidRPr="00CC5272">
        <w:rPr>
          <w:szCs w:val="24"/>
        </w:rPr>
        <w:t>, B. (2019). </w:t>
      </w:r>
      <w:r w:rsidRPr="00CC5272">
        <w:rPr>
          <w:i/>
          <w:iCs/>
          <w:szCs w:val="24"/>
        </w:rPr>
        <w:t>Inside the DEA</w:t>
      </w:r>
      <w:r w:rsidRPr="00CC5272">
        <w:rPr>
          <w:szCs w:val="24"/>
        </w:rPr>
        <w:t>.</w:t>
      </w:r>
      <w:r w:rsidRPr="00CC5272">
        <w:rPr>
          <w:szCs w:val="24"/>
        </w:rPr>
        <w:t xml:space="preserve"> </w:t>
      </w:r>
      <w:r w:rsidRPr="00CC5272">
        <w:rPr>
          <w:szCs w:val="24"/>
        </w:rPr>
        <w:t>Enslow</w:t>
      </w:r>
      <w:r w:rsidRPr="00CC5272">
        <w:rPr>
          <w:szCs w:val="24"/>
        </w:rPr>
        <w:t xml:space="preserve"> Publishing, LLC.</w:t>
      </w:r>
    </w:p>
    <w:p w:rsidR="00ED7747" w:rsidP="00ED7747">
      <w:pPr>
        <w:ind w:left="720" w:hanging="720"/>
        <w:rPr>
          <w:szCs w:val="24"/>
        </w:rPr>
      </w:pPr>
      <w:r w:rsidRPr="00E2183D">
        <w:rPr>
          <w:szCs w:val="24"/>
        </w:rPr>
        <w:t xml:space="preserve">Ladd, E., Sweeney, C. F., </w:t>
      </w:r>
      <w:r w:rsidRPr="00E2183D">
        <w:rPr>
          <w:szCs w:val="24"/>
        </w:rPr>
        <w:t>Guarino</w:t>
      </w:r>
      <w:r w:rsidRPr="00E2183D">
        <w:rPr>
          <w:szCs w:val="24"/>
        </w:rPr>
        <w:t>, A., &amp; Hoyt, A. (2019).</w:t>
      </w:r>
      <w:r w:rsidRPr="00E2183D">
        <w:rPr>
          <w:szCs w:val="24"/>
        </w:rPr>
        <w:t xml:space="preserve"> Opioid prescribing by nurse practitioners in Medicare part D: impact of state scope of practice legislation. </w:t>
      </w:r>
      <w:r w:rsidRPr="00E2183D">
        <w:rPr>
          <w:i/>
          <w:iCs/>
          <w:szCs w:val="24"/>
        </w:rPr>
        <w:t>Medical Care Research and Review</w:t>
      </w:r>
      <w:r w:rsidRPr="00E2183D">
        <w:rPr>
          <w:szCs w:val="24"/>
        </w:rPr>
        <w:t>, </w:t>
      </w:r>
      <w:r w:rsidRPr="00E2183D">
        <w:rPr>
          <w:i/>
          <w:iCs/>
          <w:szCs w:val="24"/>
        </w:rPr>
        <w:t>76</w:t>
      </w:r>
      <w:r w:rsidRPr="00E2183D">
        <w:rPr>
          <w:szCs w:val="24"/>
        </w:rPr>
        <w:t>(3), 337-353.</w:t>
      </w:r>
    </w:p>
    <w:p w:rsidR="00ED7747" w:rsidP="00ED7747">
      <w:pPr>
        <w:ind w:left="720" w:hanging="720"/>
        <w:rPr>
          <w:szCs w:val="24"/>
        </w:rPr>
      </w:pPr>
      <w:r w:rsidRPr="00E2183D">
        <w:rPr>
          <w:szCs w:val="24"/>
        </w:rPr>
        <w:t>Phillips, S. J. (2019). 31st Annual APRN legislative update: improving state practice authority and access to care. </w:t>
      </w:r>
      <w:r w:rsidRPr="00E2183D">
        <w:rPr>
          <w:i/>
          <w:iCs/>
          <w:szCs w:val="24"/>
        </w:rPr>
        <w:t>The Nurse Practitioner Journal</w:t>
      </w:r>
      <w:r w:rsidRPr="00E2183D">
        <w:rPr>
          <w:szCs w:val="24"/>
        </w:rPr>
        <w:t>, </w:t>
      </w:r>
      <w:r w:rsidRPr="00E2183D">
        <w:rPr>
          <w:i/>
          <w:iCs/>
          <w:szCs w:val="24"/>
        </w:rPr>
        <w:t>44</w:t>
      </w:r>
      <w:r w:rsidRPr="00E2183D">
        <w:rPr>
          <w:szCs w:val="24"/>
        </w:rPr>
        <w:t>(1), 27-55.</w:t>
      </w:r>
    </w:p>
    <w:p w:rsidR="00ED7747" w:rsidP="00ED7747">
      <w:pPr>
        <w:ind w:left="720" w:hanging="720"/>
        <w:rPr>
          <w:szCs w:val="24"/>
        </w:rPr>
      </w:pPr>
      <w:r w:rsidRPr="00CC5272">
        <w:rPr>
          <w:szCs w:val="24"/>
        </w:rPr>
        <w:t>Tilley, E., Hamilton-Jones, M., &amp; McNabb, A. (2019).</w:t>
      </w:r>
      <w:r w:rsidRPr="00CC5272">
        <w:rPr>
          <w:szCs w:val="24"/>
        </w:rPr>
        <w:t xml:space="preserve"> </w:t>
      </w:r>
      <w:r w:rsidRPr="00CC5272">
        <w:rPr>
          <w:szCs w:val="24"/>
        </w:rPr>
        <w:t>Nurse practitioners’ safe prescribing of controlled substances and the impact on nursing education in Ontario.</w:t>
      </w:r>
      <w:r w:rsidRPr="00CC5272">
        <w:rPr>
          <w:szCs w:val="24"/>
        </w:rPr>
        <w:t> </w:t>
      </w:r>
      <w:r w:rsidRPr="00CC5272">
        <w:rPr>
          <w:i/>
          <w:iCs/>
          <w:szCs w:val="24"/>
        </w:rPr>
        <w:t>Journal of Nursing Regulation</w:t>
      </w:r>
      <w:r w:rsidRPr="00CC5272">
        <w:rPr>
          <w:szCs w:val="24"/>
        </w:rPr>
        <w:t>, </w:t>
      </w:r>
      <w:r w:rsidRPr="00CC5272">
        <w:rPr>
          <w:i/>
          <w:iCs/>
          <w:szCs w:val="24"/>
        </w:rPr>
        <w:t>9</w:t>
      </w:r>
      <w:r w:rsidRPr="00CC5272">
        <w:rPr>
          <w:szCs w:val="24"/>
        </w:rPr>
        <w:t>(4), 42-47.</w:t>
      </w:r>
    </w:p>
    <w:p w:rsidR="00ED7747" w:rsidP="00ED7747">
      <w:pPr>
        <w:ind w:left="720" w:hanging="720"/>
        <w:rPr>
          <w:szCs w:val="24"/>
        </w:rPr>
      </w:pPr>
      <w:r w:rsidRPr="00CC5272">
        <w:rPr>
          <w:szCs w:val="24"/>
        </w:rPr>
        <w:t xml:space="preserve">Yang, B. K., </w:t>
      </w:r>
      <w:r w:rsidRPr="00CC5272">
        <w:rPr>
          <w:szCs w:val="24"/>
        </w:rPr>
        <w:t>Johantgen</w:t>
      </w:r>
      <w:r w:rsidRPr="00CC5272">
        <w:rPr>
          <w:szCs w:val="24"/>
        </w:rPr>
        <w:t xml:space="preserve">, M. E., </w:t>
      </w:r>
      <w:r w:rsidRPr="00CC5272">
        <w:rPr>
          <w:szCs w:val="24"/>
        </w:rPr>
        <w:t>Trinkoff</w:t>
      </w:r>
      <w:r w:rsidRPr="00CC5272">
        <w:rPr>
          <w:szCs w:val="24"/>
        </w:rPr>
        <w:t>, A. M., Idzik, S. R., Wince, J., &amp; Tomlinson, C. (2020). State Nurse Practitioner Practice Regulations and US Health Care Delivery Outcomes: A Systematic Review. </w:t>
      </w:r>
      <w:r w:rsidRPr="00CC5272">
        <w:rPr>
          <w:i/>
          <w:iCs/>
          <w:szCs w:val="24"/>
        </w:rPr>
        <w:t>Medical Care Research and Review</w:t>
      </w:r>
      <w:r w:rsidRPr="00CC5272">
        <w:rPr>
          <w:szCs w:val="24"/>
        </w:rPr>
        <w:t>, 1077558719901216.</w:t>
      </w:r>
    </w:p>
    <w:p w:rsidR="00E9482B" w:rsidRPr="00E9482B" w:rsidP="007D12F4">
      <w:pPr>
        <w:ind w:firstLine="0"/>
        <w:rPr>
          <w:szCs w:val="24"/>
        </w:rPr>
      </w:pPr>
    </w:p>
    <w:p w:rsidR="00E9482B" w:rsidRPr="00E9482B">
      <w:pPr>
        <w:ind w:firstLine="0"/>
        <w:rPr>
          <w:szCs w:val="24"/>
        </w:rPr>
      </w:pPr>
    </w:p>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17280421"/>
      <w:docPartObj>
        <w:docPartGallery w:val="Page Numbers (Top of Page)"/>
        <w:docPartUnique/>
      </w:docPartObj>
    </w:sdtPr>
    <w:sdtEndPr>
      <w:rPr>
        <w:noProof/>
      </w:rPr>
    </w:sdtEndPr>
    <w:sdtContent>
      <w:p w:rsidR="00E2183D">
        <w:pPr>
          <w:pStyle w:val="Header"/>
          <w:jc w:val="right"/>
        </w:pPr>
        <w:r>
          <w:fldChar w:fldCharType="begin"/>
        </w:r>
        <w:r>
          <w:instrText xml:space="preserve"> PAGE   \* MERGEFORMAT </w:instrText>
        </w:r>
        <w:r>
          <w:fldChar w:fldCharType="separate"/>
        </w:r>
        <w:r w:rsidR="006301D5">
          <w:rPr>
            <w:noProof/>
          </w:rPr>
          <w:t>2</w:t>
        </w:r>
        <w:r>
          <w:rPr>
            <w:noProof/>
          </w:rPr>
          <w:fldChar w:fldCharType="end"/>
        </w:r>
      </w:p>
    </w:sdtContent>
  </w:sdt>
  <w:p w:rsidR="00E2183D" w:rsidP="00E2183D">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2F4"/>
    <w:rsid w:val="001352BC"/>
    <w:rsid w:val="00416F35"/>
    <w:rsid w:val="0048034F"/>
    <w:rsid w:val="004A15B7"/>
    <w:rsid w:val="004D7E18"/>
    <w:rsid w:val="005735AE"/>
    <w:rsid w:val="00591ACD"/>
    <w:rsid w:val="006301D5"/>
    <w:rsid w:val="007D12F4"/>
    <w:rsid w:val="00847D2A"/>
    <w:rsid w:val="00912691"/>
    <w:rsid w:val="00967D29"/>
    <w:rsid w:val="00AE793E"/>
    <w:rsid w:val="00B922EF"/>
    <w:rsid w:val="00BF6C61"/>
    <w:rsid w:val="00CC5272"/>
    <w:rsid w:val="00CE58B9"/>
    <w:rsid w:val="00D07DE4"/>
    <w:rsid w:val="00D96882"/>
    <w:rsid w:val="00DB00BF"/>
    <w:rsid w:val="00E2183D"/>
    <w:rsid w:val="00E5155C"/>
    <w:rsid w:val="00E9482B"/>
    <w:rsid w:val="00ED7747"/>
    <w:rsid w:val="00F9378A"/>
    <w:rsid w:val="00FB105A"/>
    <w:rsid w:val="00FB49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83D"/>
    <w:pPr>
      <w:tabs>
        <w:tab w:val="center" w:pos="4680"/>
        <w:tab w:val="right" w:pos="9360"/>
      </w:tabs>
      <w:spacing w:line="240" w:lineRule="auto"/>
    </w:pPr>
  </w:style>
  <w:style w:type="character" w:customStyle="1" w:styleId="HeaderChar">
    <w:name w:val="Header Char"/>
    <w:basedOn w:val="DefaultParagraphFont"/>
    <w:link w:val="Header"/>
    <w:uiPriority w:val="99"/>
    <w:rsid w:val="00E2183D"/>
  </w:style>
  <w:style w:type="paragraph" w:styleId="Footer">
    <w:name w:val="footer"/>
    <w:basedOn w:val="Normal"/>
    <w:link w:val="FooterChar"/>
    <w:uiPriority w:val="99"/>
    <w:unhideWhenUsed/>
    <w:rsid w:val="00E2183D"/>
    <w:pPr>
      <w:tabs>
        <w:tab w:val="center" w:pos="4680"/>
        <w:tab w:val="right" w:pos="9360"/>
      </w:tabs>
      <w:spacing w:line="240" w:lineRule="auto"/>
    </w:pPr>
  </w:style>
  <w:style w:type="character" w:customStyle="1" w:styleId="FooterChar">
    <w:name w:val="Footer Char"/>
    <w:basedOn w:val="DefaultParagraphFont"/>
    <w:link w:val="Footer"/>
    <w:uiPriority w:val="99"/>
    <w:rsid w:val="00E21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2020-07-15T16:08:00Z</dcterms:created>
  <dcterms:modified xsi:type="dcterms:W3CDTF">2020-07-15T18:04:00Z</dcterms:modified>
</cp:coreProperties>
</file>